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свобождаются от налогообложения: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contextualSpacing/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15) налогоплательщики - участники специальных инвестиционных контрактов, указанные в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статье 25.16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части первой Налогового кодекса Российской Федерации, в отношении имущества, созданного и (или) приобретенного и (или) используемого в целях реализации инвестиционного проекта, в отношении которого заключен специальный инвестиционный контракт, в течение в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сего срока действия специального инвестиционного контракта, начиная с начала налогового периода, в котором заключен специальный инвестиционный контракт, до первого числа отчетного (налогового) периода, в котором специальный инвестиционный контракт расторгн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ут или срок его действия окончен.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contextualSpacing/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Налоговая льгота в соответствии с настоящим пунктом предоставляется при соблюдении совокупности следующих условий и при представлении в налоговый орган следующих документов: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contextualSpacing/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а) включение сведений о заключении специального инвестиционного контракта в реестр специальных инвестиционных контрактов, предусмотренный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частью 20 статьи 18.3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Федерального закона от 31 декабря 2014 года N 488-ФЗ "О промышленной политике в Российской Федерации";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contextualSpacing/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б) ведение раздельного бухгалтерского учета в отношении имущества, созданного и (или) приобретенного и (или) используемого в целях реализации инвестиционного проекта, в отношении которого заключен специальный инвестиционный контракт;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contextualSpacing/>
        <w:ind w:left="0" w:right="0" w:firstLine="540"/>
        <w:jc w:val="both"/>
        <w:spacing w:before="0" w:after="0" w:line="240" w:lineRule="auto"/>
        <w:rPr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в) представление налогоплательщиком - участником специального инвестиционного контракта специального инвестиционного контракта, отчета к специальному инвестиционному контракту, определяющего конкретное имущество (созданное и (или) при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обретенное и (или) исп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ользуемое в течение налогового периода) в целях получения результата инвестиционной деятельности при реализации инвестиционного проекта;</w:t>
      </w:r>
      <w:r>
        <w:rPr>
          <w:sz w:val="27"/>
          <w:szCs w:val="27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г) в случаях и порядке, утвержденных Правительством Удмуртской Республики, заключение налогоплательщиком - участником специального инвестиционного контракта соглашения о реализации инвестиционной программы с уполномоченным исполнительным органом Удмуртской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Республики по форме, утвержденной исполнительным органом Удмуртской Республики, определяемым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Правительством Удмуртской Республики;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д) в случаях, указанных в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подпункте "г"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 настоящего пункта, представление соглашения о реализации инвестиционной программы, отчета к соглашению о реализации инвестиционной программы, определяющего конкретное имущество (созданное и (или) приобретенное и (или) используемое в течение налогового пер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иод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а) в целях получения результата инвестиционной деятельности при реализации инвестиционного проекта, по форме, утвержденной исполнительным органом Удмуртской Республики, определяемым Правительством Удмуртской Республики.</w:t>
      </w:r>
      <w:r>
        <w:rPr>
          <w:sz w:val="27"/>
          <w:szCs w:val="27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Министерство промышленности и торговли Удмуртской Республики в течение 5 рабочих дней со дня расторжения соглашения о реализации инвестиционной программы извещает Управление Федеральной налоговой службы по Удмуртской Республике о расторжении соглашения о р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еализации инвестиционной программы.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14:ligatures w14:val="none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Министерство промышленности и торговли Удмуртской Республики в течение 5 рабочих дней со дня подписания дополнительного соглашения о внесении изменений в соглашение о реализации инвестиционной программы или соглашения о расторжении соглашения о реализации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инвестиционной программы направляет в Управление Федеральной налоговой службы по Удмуртской Республике один экземпляр указанного соглашения.</w:t>
      </w:r>
      <w:r>
        <w:rPr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  <w14:ligatures w14:val="none"/>
        </w:rPr>
      </w:r>
    </w:p>
    <w:p>
      <w:pPr>
        <w:contextualSpacing/>
        <w:ind w:left="0" w:right="0" w:firstLine="540"/>
        <w:jc w:val="both"/>
        <w:spacing w:before="168" w:after="0" w:line="240" w:lineRule="auto"/>
        <w:rPr>
          <w:rFonts w:ascii="Times New Roman" w:hAnsi="Times New Roman" w:eastAsia="Times New Roman" w:cs="Times New Roman"/>
          <w:color w:val="000000"/>
          <w:sz w:val="27"/>
          <w:szCs w:val="27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  <w:t xml:space="preserve">(п 15 введен Законом УР от 13.10.2020 № 63-РЗ)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highlight w:val="none"/>
        </w:rPr>
      </w:r>
    </w:p>
    <w:sectPr>
      <w:footnotePr/>
      <w:endnotePr/>
      <w:type w:val="nextPage"/>
      <w:pgSz w:w="11906" w:h="16838" w:orient="portrait"/>
      <w:pgMar w:top="851" w:right="567" w:bottom="964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2025-04-16T13:03:18Z</dcterms:modified>
</cp:coreProperties>
</file>